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/>
        <w:jc w:val="center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确山县水务有限公司采购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产业集聚区双创基地配套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给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排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水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管道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工程监理项目</w:t>
      </w:r>
      <w:r>
        <w:rPr>
          <w:rFonts w:hint="eastAsia" w:ascii="宋体" w:hAnsi="宋体" w:eastAsia="宋体" w:cs="宋体"/>
          <w:b/>
          <w:color w:val="333333"/>
          <w:sz w:val="28"/>
          <w:szCs w:val="28"/>
          <w:shd w:val="clear" w:fill="FFFFFF"/>
        </w:rPr>
        <w:t>成交公告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500" w:lineRule="atLeast"/>
        <w:ind w:left="0" w:right="0"/>
        <w:jc w:val="both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采购项目名称：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确山县水务有限公司采购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产业集聚区双创基地配套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给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排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管道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工程监理项目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00" w:lineRule="atLeast"/>
        <w:ind w:right="0" w:rightChars="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二、采购公告发布日期：2020年0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月2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、评审日期：2020年0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28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、采购方式：竞争性谈判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、成交情况：</w:t>
      </w:r>
    </w:p>
    <w:tbl>
      <w:tblPr>
        <w:tblStyle w:val="3"/>
        <w:tblW w:w="8781" w:type="dxa"/>
        <w:tblInd w:w="2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2"/>
        <w:gridCol w:w="2370"/>
        <w:gridCol w:w="2798"/>
        <w:gridCol w:w="17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500" w:lineRule="atLeast"/>
              <w:ind w:left="0" w:right="0" w:firstLine="28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  <w:t>采购内容</w:t>
            </w:r>
          </w:p>
        </w:tc>
        <w:tc>
          <w:tcPr>
            <w:tcW w:w="23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500" w:lineRule="atLeast"/>
              <w:ind w:left="0" w:right="0" w:firstLine="28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  <w:t>供应商名称</w:t>
            </w:r>
          </w:p>
        </w:tc>
        <w:tc>
          <w:tcPr>
            <w:tcW w:w="2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500" w:lineRule="atLeast"/>
              <w:ind w:left="0" w:right="0" w:firstLine="28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  <w:t>地址</w:t>
            </w:r>
          </w:p>
        </w:tc>
        <w:tc>
          <w:tcPr>
            <w:tcW w:w="17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500" w:lineRule="atLeast"/>
              <w:ind w:left="0" w:right="0" w:firstLine="28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  <w:t>成交金额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500" w:lineRule="atLeast"/>
              <w:ind w:left="0" w:right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shd w:val="clear" w:fill="FFFFFF"/>
                <w:lang w:val="en-US" w:eastAsia="zh-CN"/>
              </w:rPr>
              <w:t>工程施工全程监理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河南省联达工程管理有限公司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郑州市二七区淮河路绿云小康2号楼1606号</w:t>
            </w:r>
            <w:bookmarkStart w:id="0" w:name="_GoBack"/>
            <w:bookmarkEnd w:id="0"/>
          </w:p>
        </w:tc>
        <w:tc>
          <w:tcPr>
            <w:tcW w:w="1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500" w:lineRule="atLeast"/>
              <w:ind w:left="0" w:right="0" w:firstLine="28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8.32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  <w:t>万元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六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、谈判小组成员名单：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张鹏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、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李云慧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、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桂刚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（业主）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、成交公告发布的媒介及成交公告期限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56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本次公告在《</w:t>
      </w: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</w:rPr>
        <w:t>确山县水务有限公司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网》等网站上发布。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56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中标公告期限为1个工作日。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八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、联系方式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/>
        <w:jc w:val="both"/>
        <w:rPr>
          <w:rFonts w:hint="eastAsia" w:ascii="Calibri" w:hAnsi="Calibri" w:cs="Calibri" w:eastAsia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采购人：</w:t>
      </w: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</w:rPr>
        <w:t>确山县水务有限公司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联系人：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桂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先生     联系电话：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13839625948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560" w:firstLine="3080"/>
        <w:jc w:val="both"/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 xml:space="preserve">发布人： </w:t>
      </w: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</w:rPr>
        <w:t>确山县水务有限公司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560" w:firstLine="4939" w:firstLineChars="1764"/>
        <w:jc w:val="both"/>
        <w:rPr>
          <w:rFonts w:hint="default" w:ascii="Times New Roman" w:hAnsi="Times New Roman" w:cs="Times New Roman" w:eastAsiaTheme="minorEastAsia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/>
        </w:rPr>
        <w:t>2020年7月28日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AAD50"/>
    <w:multiLevelType w:val="singleLevel"/>
    <w:tmpl w:val="67EAAD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53DE7"/>
    <w:rsid w:val="0AEE1665"/>
    <w:rsid w:val="0DF56544"/>
    <w:rsid w:val="225D5D9A"/>
    <w:rsid w:val="402E061C"/>
    <w:rsid w:val="47000A52"/>
    <w:rsid w:val="47F83860"/>
    <w:rsid w:val="5BB60613"/>
    <w:rsid w:val="72253DE7"/>
    <w:rsid w:val="79844E51"/>
    <w:rsid w:val="7F6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2020-04-01T00:48:00Z</dcterms:created>
  <dc:creator>Administrator</dc:creator>
  <cp:lastModifiedBy>Administrator</cp:lastModifiedBy>
  <cp:lastPrinted>2020-04-01T01:32:00Z</cp:lastPrinted>
  <dcterms:modified xsi:type="dcterms:W3CDTF">2020-07-28T01:54:12Z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